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3F80" w:rsidRDefault="00ED3F80">
      <w:pPr>
        <w:pBdr>
          <w:top w:val="nil"/>
          <w:left w:val="nil"/>
          <w:bottom w:val="nil"/>
          <w:right w:val="nil"/>
          <w:between w:val="nil"/>
        </w:pBdr>
        <w:tabs>
          <w:tab w:val="left" w:pos="4912"/>
        </w:tabs>
      </w:pPr>
    </w:p>
    <w:p w:rsidR="009331C1" w:rsidRDefault="009331C1" w:rsidP="003572FF">
      <w:pPr>
        <w:jc w:val="center"/>
      </w:pPr>
      <w:r w:rsidRPr="00640843">
        <w:rPr>
          <w:noProof/>
        </w:rPr>
        <w:drawing>
          <wp:inline distT="0" distB="0" distL="0" distR="0" wp14:anchorId="1096C56F" wp14:editId="0320F3C4">
            <wp:extent cx="3743325" cy="3181350"/>
            <wp:effectExtent l="0" t="0" r="9525" b="0"/>
            <wp:docPr id="1" name="Picture 1" descr="C:\Users\Teacher\Downloads\Who is my neighbour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Who is my neighbour (1) (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2196" t="10067" r="9228" b="18393"/>
                    <a:stretch/>
                  </pic:blipFill>
                  <pic:spPr bwMode="auto">
                    <a:xfrm>
                      <a:off x="0" y="0"/>
                      <a:ext cx="3748806" cy="3186008"/>
                    </a:xfrm>
                    <a:prstGeom prst="rect">
                      <a:avLst/>
                    </a:prstGeom>
                    <a:noFill/>
                    <a:ln>
                      <a:noFill/>
                    </a:ln>
                    <a:extLst>
                      <a:ext uri="{53640926-AAD7-44D8-BBD7-CCE9431645EC}">
                        <a14:shadowObscured xmlns:a14="http://schemas.microsoft.com/office/drawing/2010/main"/>
                      </a:ext>
                    </a:extLst>
                  </pic:spPr>
                </pic:pic>
              </a:graphicData>
            </a:graphic>
          </wp:inline>
        </w:drawing>
      </w:r>
    </w:p>
    <w:p w:rsidR="003230E8" w:rsidRDefault="003230E8" w:rsidP="009331C1">
      <w:pPr>
        <w:tabs>
          <w:tab w:val="left" w:pos="720"/>
        </w:tabs>
        <w:ind w:left="567" w:hanging="567"/>
        <w:jc w:val="center"/>
        <w:rPr>
          <w:rFonts w:ascii="Calibri" w:eastAsia="Calibri" w:hAnsi="Calibri" w:cs="Arial"/>
          <w:b/>
          <w:color w:val="235E9C"/>
          <w:sz w:val="48"/>
          <w:szCs w:val="48"/>
          <w:lang w:eastAsia="zh-CN"/>
        </w:rPr>
      </w:pPr>
    </w:p>
    <w:p w:rsidR="00DD2045" w:rsidRDefault="00DD2045" w:rsidP="009331C1">
      <w:pPr>
        <w:tabs>
          <w:tab w:val="left" w:pos="720"/>
        </w:tabs>
        <w:ind w:left="567" w:hanging="567"/>
        <w:jc w:val="center"/>
        <w:rPr>
          <w:rFonts w:ascii="Calibri" w:eastAsia="Calibri" w:hAnsi="Calibri" w:cs="Arial"/>
          <w:b/>
          <w:color w:val="235E9C"/>
          <w:sz w:val="48"/>
          <w:szCs w:val="48"/>
          <w:lang w:eastAsia="zh-CN"/>
        </w:rPr>
      </w:pPr>
    </w:p>
    <w:p w:rsidR="009331C1" w:rsidRPr="000C6DE0" w:rsidRDefault="009331C1" w:rsidP="009331C1">
      <w:pPr>
        <w:tabs>
          <w:tab w:val="left" w:pos="720"/>
        </w:tabs>
        <w:ind w:left="567" w:hanging="567"/>
        <w:jc w:val="center"/>
        <w:rPr>
          <w:rFonts w:ascii="Calibri" w:eastAsia="Calibri" w:hAnsi="Calibri" w:cs="Arial"/>
          <w:b/>
          <w:color w:val="235E9C"/>
          <w:sz w:val="48"/>
          <w:szCs w:val="48"/>
          <w:lang w:eastAsia="zh-CN"/>
        </w:rPr>
      </w:pPr>
      <w:r>
        <w:rPr>
          <w:rFonts w:ascii="Calibri" w:eastAsia="Calibri" w:hAnsi="Calibri" w:cs="Arial"/>
          <w:b/>
          <w:color w:val="235E9C"/>
          <w:sz w:val="48"/>
          <w:szCs w:val="48"/>
          <w:lang w:eastAsia="zh-CN"/>
        </w:rPr>
        <w:t>ASSESSMENT POLICY</w:t>
      </w:r>
    </w:p>
    <w:p w:rsidR="009331C1" w:rsidRPr="000C6DE0" w:rsidRDefault="009331C1" w:rsidP="009331C1">
      <w:pPr>
        <w:jc w:val="center"/>
        <w:rPr>
          <w:rFonts w:ascii="Calibri" w:eastAsia="Calibri" w:hAnsi="Calibri" w:cs="Times New Roman"/>
          <w:color w:val="31849B"/>
          <w:szCs w:val="20"/>
        </w:rPr>
      </w:pPr>
      <w:r w:rsidRPr="000C6DE0">
        <w:rPr>
          <w:rFonts w:ascii="Calibri" w:eastAsia="Calibri" w:hAnsi="Calibri" w:cs="Times New Roman"/>
          <w:color w:val="31849B"/>
          <w:szCs w:val="20"/>
        </w:rPr>
        <w:t xml:space="preserve"> </w:t>
      </w:r>
    </w:p>
    <w:p w:rsidR="009331C1" w:rsidRPr="000C6DE0" w:rsidRDefault="009331C1" w:rsidP="009331C1">
      <w:pPr>
        <w:rPr>
          <w:rFonts w:ascii="Calibri" w:eastAsia="Calibri" w:hAnsi="Calibri" w:cs="Times New Roman"/>
          <w:i/>
          <w:color w:val="31849B"/>
          <w:szCs w:val="20"/>
        </w:rPr>
      </w:pPr>
      <w:r w:rsidRPr="000C6DE0">
        <w:rPr>
          <w:rFonts w:ascii="Calibri" w:eastAsia="Calibri" w:hAnsi="Calibri" w:cs="Times New Roman"/>
          <w:i/>
          <w:color w:val="31849B"/>
          <w:szCs w:val="20"/>
          <w:lang w:val="en-US"/>
        </w:rPr>
        <w:t>We aspire to encourage diversity and a love of learning tha</w:t>
      </w:r>
      <w:r w:rsidR="00F90223">
        <w:rPr>
          <w:rFonts w:ascii="Calibri" w:eastAsia="Calibri" w:hAnsi="Calibri" w:cs="Times New Roman"/>
          <w:i/>
          <w:color w:val="31849B"/>
          <w:szCs w:val="20"/>
          <w:lang w:val="en-US"/>
        </w:rPr>
        <w:t>t nurture well-rounded individua</w:t>
      </w:r>
      <w:r w:rsidRPr="000C6DE0">
        <w:rPr>
          <w:rFonts w:ascii="Calibri" w:eastAsia="Calibri" w:hAnsi="Calibri" w:cs="Times New Roman"/>
          <w:i/>
          <w:color w:val="31849B"/>
          <w:szCs w:val="20"/>
          <w:lang w:val="en-US"/>
        </w:rPr>
        <w:t>l</w:t>
      </w:r>
      <w:r w:rsidR="00F90223">
        <w:rPr>
          <w:rFonts w:ascii="Calibri" w:eastAsia="Calibri" w:hAnsi="Calibri" w:cs="Times New Roman"/>
          <w:i/>
          <w:color w:val="31849B"/>
          <w:szCs w:val="20"/>
          <w:lang w:val="en-US"/>
        </w:rPr>
        <w:t>s</w:t>
      </w:r>
      <w:bookmarkStart w:id="0" w:name="_GoBack"/>
      <w:bookmarkEnd w:id="0"/>
      <w:r w:rsidRPr="000C6DE0">
        <w:rPr>
          <w:rFonts w:ascii="Calibri" w:eastAsia="Calibri" w:hAnsi="Calibri" w:cs="Times New Roman"/>
          <w:i/>
          <w:color w:val="31849B"/>
          <w:szCs w:val="20"/>
          <w:lang w:val="en-US"/>
        </w:rPr>
        <w:t>, with curious minds, who shine in service to our community and are inspired to flourish</w:t>
      </w:r>
    </w:p>
    <w:p w:rsidR="009331C1" w:rsidRPr="000C6DE0" w:rsidRDefault="009331C1" w:rsidP="009331C1">
      <w:pPr>
        <w:rPr>
          <w:rFonts w:ascii="Calibri" w:eastAsia="Calibri" w:hAnsi="Calibri" w:cs="Times New Roman"/>
          <w:color w:val="31849B"/>
          <w:szCs w:val="20"/>
        </w:rPr>
      </w:pPr>
    </w:p>
    <w:p w:rsidR="009331C1" w:rsidRDefault="009331C1" w:rsidP="009331C1">
      <w:pPr>
        <w:rPr>
          <w:rFonts w:ascii="Calibri" w:eastAsia="Calibri" w:hAnsi="Calibri" w:cs="Times New Roman"/>
          <w:color w:val="31849B"/>
          <w:szCs w:val="20"/>
        </w:rPr>
      </w:pPr>
    </w:p>
    <w:p w:rsidR="009331C1" w:rsidRDefault="009331C1" w:rsidP="009331C1">
      <w:pPr>
        <w:rPr>
          <w:rFonts w:ascii="Calibri" w:eastAsia="Calibri" w:hAnsi="Calibri" w:cs="Times New Roman"/>
          <w:color w:val="31849B"/>
          <w:szCs w:val="20"/>
        </w:rPr>
      </w:pPr>
    </w:p>
    <w:p w:rsidR="009331C1" w:rsidRDefault="009331C1" w:rsidP="009331C1">
      <w:pPr>
        <w:rPr>
          <w:rFonts w:ascii="Calibri" w:eastAsia="Calibri" w:hAnsi="Calibri" w:cs="Times New Roman"/>
          <w:color w:val="31849B"/>
          <w:szCs w:val="20"/>
        </w:rPr>
      </w:pPr>
    </w:p>
    <w:p w:rsidR="009331C1" w:rsidRDefault="009331C1" w:rsidP="009331C1">
      <w:pPr>
        <w:rPr>
          <w:rFonts w:ascii="Calibri" w:eastAsia="Calibri" w:hAnsi="Calibri" w:cs="Times New Roman"/>
          <w:color w:val="31849B"/>
          <w:szCs w:val="20"/>
        </w:rPr>
      </w:pPr>
    </w:p>
    <w:p w:rsidR="009331C1" w:rsidRDefault="009331C1" w:rsidP="009331C1">
      <w:pPr>
        <w:rPr>
          <w:rFonts w:ascii="Calibri" w:eastAsia="Calibri" w:hAnsi="Calibri" w:cs="Times New Roman"/>
          <w:color w:val="31849B"/>
          <w:szCs w:val="20"/>
        </w:rPr>
      </w:pPr>
    </w:p>
    <w:p w:rsidR="00AD4E8A" w:rsidRDefault="00AD4E8A" w:rsidP="009331C1">
      <w:pPr>
        <w:rPr>
          <w:rFonts w:ascii="Calibri" w:eastAsia="Calibri" w:hAnsi="Calibri" w:cs="Times New Roman"/>
          <w:color w:val="31849B"/>
          <w:szCs w:val="20"/>
        </w:rPr>
      </w:pPr>
    </w:p>
    <w:p w:rsidR="00AD4E8A" w:rsidRDefault="00AD4E8A" w:rsidP="009331C1">
      <w:pPr>
        <w:rPr>
          <w:rFonts w:ascii="Calibri" w:eastAsia="Calibri" w:hAnsi="Calibri" w:cs="Times New Roman"/>
          <w:color w:val="31849B"/>
          <w:szCs w:val="20"/>
        </w:rPr>
      </w:pPr>
    </w:p>
    <w:p w:rsidR="009331C1" w:rsidRPr="000C6DE0" w:rsidRDefault="009331C1" w:rsidP="009331C1">
      <w:pPr>
        <w:rPr>
          <w:rFonts w:ascii="Calibri" w:eastAsia="Calibri" w:hAnsi="Calibri" w:cs="Times New Roman"/>
          <w:color w:val="31849B"/>
          <w:szCs w:val="20"/>
        </w:rPr>
      </w:pPr>
    </w:p>
    <w:p w:rsidR="009331C1" w:rsidRPr="000C6DE0" w:rsidRDefault="009331C1" w:rsidP="009331C1">
      <w:pPr>
        <w:jc w:val="center"/>
        <w:rPr>
          <w:rFonts w:ascii="Calibri" w:eastAsia="Calibri" w:hAnsi="Calibri" w:cs="Times New Roman"/>
          <w:color w:val="31849B"/>
          <w:szCs w:val="20"/>
        </w:rPr>
      </w:pPr>
    </w:p>
    <w:tbl>
      <w:tblPr>
        <w:tblStyle w:val="ListTable3-Accent51"/>
        <w:tblW w:w="9251" w:type="dxa"/>
        <w:tblInd w:w="0" w:type="dxa"/>
        <w:tblBorders>
          <w:top w:val="single" w:sz="12" w:space="0" w:color="235E9C"/>
          <w:left w:val="single" w:sz="12" w:space="0" w:color="235E9C"/>
          <w:bottom w:val="single" w:sz="12" w:space="0" w:color="235E9C"/>
          <w:right w:val="single" w:sz="12" w:space="0" w:color="235E9C"/>
          <w:insideH w:val="single" w:sz="12" w:space="0" w:color="235E9C"/>
          <w:insideV w:val="single" w:sz="12" w:space="0" w:color="235E9C"/>
        </w:tblBorders>
        <w:tblLook w:val="04A0" w:firstRow="1" w:lastRow="0" w:firstColumn="1" w:lastColumn="0" w:noHBand="0" w:noVBand="1"/>
      </w:tblPr>
      <w:tblGrid>
        <w:gridCol w:w="4472"/>
        <w:gridCol w:w="2160"/>
        <w:gridCol w:w="2619"/>
      </w:tblGrid>
      <w:tr w:rsidR="009331C1" w:rsidRPr="000C6DE0" w:rsidTr="003E07A9">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4472" w:type="dxa"/>
            <w:tcBorders>
              <w:top w:val="nil"/>
              <w:left w:val="nil"/>
            </w:tcBorders>
            <w:shd w:val="clear" w:color="auto" w:fill="235E9C"/>
            <w:hideMark/>
          </w:tcPr>
          <w:p w:rsidR="009331C1" w:rsidRPr="000C6DE0" w:rsidRDefault="009331C1" w:rsidP="003E07A9">
            <w:pPr>
              <w:rPr>
                <w:sz w:val="24"/>
                <w:szCs w:val="24"/>
                <w:lang w:eastAsia="en-GB"/>
              </w:rPr>
            </w:pPr>
            <w:r w:rsidRPr="000C6DE0">
              <w:rPr>
                <w:sz w:val="24"/>
                <w:szCs w:val="24"/>
                <w:lang w:eastAsia="en-GB"/>
              </w:rPr>
              <w:t>Signed</w:t>
            </w:r>
          </w:p>
        </w:tc>
        <w:tc>
          <w:tcPr>
            <w:tcW w:w="2160" w:type="dxa"/>
            <w:tcBorders>
              <w:top w:val="nil"/>
              <w:left w:val="nil"/>
              <w:bottom w:val="nil"/>
              <w:right w:val="nil"/>
            </w:tcBorders>
            <w:shd w:val="clear" w:color="auto" w:fill="235E9C"/>
            <w:hideMark/>
          </w:tcPr>
          <w:p w:rsidR="009331C1" w:rsidRPr="000C6DE0" w:rsidRDefault="009331C1" w:rsidP="003E07A9">
            <w:pPr>
              <w:cnfStyle w:val="100000000000" w:firstRow="1" w:lastRow="0" w:firstColumn="0" w:lastColumn="0" w:oddVBand="0" w:evenVBand="0" w:oddHBand="0" w:evenHBand="0" w:firstRowFirstColumn="0" w:firstRowLastColumn="0" w:lastRowFirstColumn="0" w:lastRowLastColumn="0"/>
              <w:rPr>
                <w:sz w:val="24"/>
                <w:szCs w:val="24"/>
                <w:lang w:eastAsia="en-GB"/>
              </w:rPr>
            </w:pPr>
            <w:r w:rsidRPr="000C6DE0">
              <w:rPr>
                <w:sz w:val="24"/>
                <w:szCs w:val="24"/>
                <w:lang w:eastAsia="en-GB"/>
              </w:rPr>
              <w:t>Date</w:t>
            </w:r>
          </w:p>
        </w:tc>
        <w:tc>
          <w:tcPr>
            <w:tcW w:w="2619" w:type="dxa"/>
            <w:tcBorders>
              <w:top w:val="nil"/>
              <w:left w:val="nil"/>
              <w:bottom w:val="nil"/>
              <w:right w:val="nil"/>
            </w:tcBorders>
            <w:shd w:val="clear" w:color="auto" w:fill="235E9C"/>
            <w:hideMark/>
          </w:tcPr>
          <w:p w:rsidR="009331C1" w:rsidRPr="000C6DE0" w:rsidRDefault="009331C1" w:rsidP="003E07A9">
            <w:pPr>
              <w:cnfStyle w:val="100000000000" w:firstRow="1" w:lastRow="0" w:firstColumn="0" w:lastColumn="0" w:oddVBand="0" w:evenVBand="0" w:oddHBand="0" w:evenHBand="0" w:firstRowFirstColumn="0" w:firstRowLastColumn="0" w:lastRowFirstColumn="0" w:lastRowLastColumn="0"/>
              <w:rPr>
                <w:sz w:val="24"/>
                <w:szCs w:val="24"/>
                <w:lang w:eastAsia="en-GB"/>
              </w:rPr>
            </w:pPr>
            <w:r w:rsidRPr="000C6DE0">
              <w:rPr>
                <w:sz w:val="24"/>
                <w:szCs w:val="24"/>
                <w:lang w:eastAsia="en-GB"/>
              </w:rPr>
              <w:t>Review Date</w:t>
            </w:r>
          </w:p>
        </w:tc>
      </w:tr>
      <w:tr w:rsidR="009331C1" w:rsidRPr="000C6DE0" w:rsidTr="003E07A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472" w:type="dxa"/>
            <w:tcBorders>
              <w:top w:val="nil"/>
              <w:left w:val="single" w:sz="12" w:space="0" w:color="235E9C"/>
            </w:tcBorders>
          </w:tcPr>
          <w:p w:rsidR="009331C1" w:rsidRPr="000C6DE0" w:rsidRDefault="009331C1" w:rsidP="00E1452D">
            <w:pPr>
              <w:rPr>
                <w:color w:val="31849B"/>
                <w:sz w:val="24"/>
                <w:lang w:eastAsia="en-GB"/>
              </w:rPr>
            </w:pPr>
            <w:proofErr w:type="spellStart"/>
            <w:r w:rsidRPr="000C6DE0">
              <w:rPr>
                <w:color w:val="31849B"/>
                <w:sz w:val="24"/>
                <w:szCs w:val="20"/>
                <w:lang w:eastAsia="en-GB"/>
              </w:rPr>
              <w:t>D.Carter</w:t>
            </w:r>
            <w:proofErr w:type="spellEnd"/>
          </w:p>
          <w:p w:rsidR="009331C1" w:rsidRPr="000C6DE0" w:rsidRDefault="009331C1" w:rsidP="003E07A9">
            <w:pPr>
              <w:jc w:val="center"/>
              <w:rPr>
                <w:color w:val="31849B"/>
                <w:sz w:val="24"/>
                <w:szCs w:val="20"/>
                <w:lang w:eastAsia="en-GB"/>
              </w:rPr>
            </w:pPr>
          </w:p>
        </w:tc>
        <w:tc>
          <w:tcPr>
            <w:tcW w:w="2160" w:type="dxa"/>
            <w:tcBorders>
              <w:top w:val="nil"/>
              <w:left w:val="single" w:sz="12" w:space="0" w:color="235E9C"/>
              <w:right w:val="single" w:sz="12" w:space="0" w:color="235E9C"/>
            </w:tcBorders>
            <w:hideMark/>
          </w:tcPr>
          <w:p w:rsidR="009331C1" w:rsidRPr="000C6DE0" w:rsidRDefault="009331C1" w:rsidP="003E07A9">
            <w:pPr>
              <w:jc w:val="center"/>
              <w:cnfStyle w:val="000000100000" w:firstRow="0" w:lastRow="0" w:firstColumn="0" w:lastColumn="0" w:oddVBand="0" w:evenVBand="0" w:oddHBand="1" w:evenHBand="0" w:firstRowFirstColumn="0" w:firstRowLastColumn="0" w:lastRowFirstColumn="0" w:lastRowLastColumn="0"/>
              <w:rPr>
                <w:color w:val="31849B"/>
                <w:sz w:val="24"/>
                <w:szCs w:val="20"/>
                <w:lang w:eastAsia="en-GB"/>
              </w:rPr>
            </w:pPr>
            <w:r w:rsidRPr="000C6DE0">
              <w:rPr>
                <w:color w:val="31849B"/>
                <w:sz w:val="24"/>
                <w:szCs w:val="20"/>
                <w:lang w:eastAsia="en-GB"/>
              </w:rPr>
              <w:t>March 2022</w:t>
            </w:r>
          </w:p>
        </w:tc>
        <w:tc>
          <w:tcPr>
            <w:tcW w:w="2619" w:type="dxa"/>
            <w:tcBorders>
              <w:top w:val="nil"/>
              <w:left w:val="single" w:sz="12" w:space="0" w:color="235E9C"/>
              <w:right w:val="single" w:sz="12" w:space="0" w:color="235E9C"/>
            </w:tcBorders>
            <w:hideMark/>
          </w:tcPr>
          <w:p w:rsidR="009331C1" w:rsidRPr="000C6DE0" w:rsidRDefault="009331C1" w:rsidP="003E07A9">
            <w:pPr>
              <w:jc w:val="center"/>
              <w:cnfStyle w:val="000000100000" w:firstRow="0" w:lastRow="0" w:firstColumn="0" w:lastColumn="0" w:oddVBand="0" w:evenVBand="0" w:oddHBand="1" w:evenHBand="0" w:firstRowFirstColumn="0" w:firstRowLastColumn="0" w:lastRowFirstColumn="0" w:lastRowLastColumn="0"/>
              <w:rPr>
                <w:color w:val="31849B"/>
                <w:sz w:val="24"/>
                <w:szCs w:val="20"/>
                <w:lang w:eastAsia="en-GB"/>
              </w:rPr>
            </w:pPr>
            <w:r w:rsidRPr="000C6DE0">
              <w:rPr>
                <w:color w:val="31849B"/>
                <w:sz w:val="24"/>
                <w:szCs w:val="20"/>
                <w:lang w:eastAsia="en-GB"/>
              </w:rPr>
              <w:t>March 2024</w:t>
            </w:r>
          </w:p>
        </w:tc>
      </w:tr>
      <w:tr w:rsidR="009331C1" w:rsidRPr="000C6DE0" w:rsidTr="003E07A9">
        <w:trPr>
          <w:trHeight w:val="264"/>
        </w:trPr>
        <w:tc>
          <w:tcPr>
            <w:cnfStyle w:val="001000000000" w:firstRow="0" w:lastRow="0" w:firstColumn="1" w:lastColumn="0" w:oddVBand="0" w:evenVBand="0" w:oddHBand="0" w:evenHBand="0" w:firstRowFirstColumn="0" w:firstRowLastColumn="0" w:lastRowFirstColumn="0" w:lastRowLastColumn="0"/>
            <w:tcW w:w="4472" w:type="dxa"/>
            <w:tcBorders>
              <w:top w:val="single" w:sz="12" w:space="0" w:color="235E9C"/>
              <w:left w:val="single" w:sz="12" w:space="0" w:color="235E9C"/>
              <w:bottom w:val="single" w:sz="12" w:space="0" w:color="235E9C"/>
            </w:tcBorders>
          </w:tcPr>
          <w:p w:rsidR="009331C1" w:rsidRPr="000C6DE0" w:rsidRDefault="009331C1" w:rsidP="00E1452D">
            <w:pPr>
              <w:rPr>
                <w:color w:val="31849B"/>
                <w:sz w:val="24"/>
                <w:szCs w:val="20"/>
                <w:lang w:eastAsia="en-GB"/>
              </w:rPr>
            </w:pPr>
            <w:proofErr w:type="spellStart"/>
            <w:r w:rsidRPr="000C6DE0">
              <w:rPr>
                <w:color w:val="31849B"/>
                <w:sz w:val="24"/>
                <w:szCs w:val="20"/>
                <w:lang w:eastAsia="en-GB"/>
              </w:rPr>
              <w:t>B.Melero</w:t>
            </w:r>
            <w:proofErr w:type="spellEnd"/>
          </w:p>
          <w:p w:rsidR="009331C1" w:rsidRPr="000C6DE0" w:rsidRDefault="009331C1" w:rsidP="003E07A9">
            <w:pPr>
              <w:jc w:val="center"/>
              <w:rPr>
                <w:color w:val="31849B"/>
                <w:sz w:val="24"/>
                <w:szCs w:val="20"/>
                <w:lang w:eastAsia="en-GB"/>
              </w:rPr>
            </w:pPr>
          </w:p>
        </w:tc>
        <w:tc>
          <w:tcPr>
            <w:tcW w:w="2160" w:type="dxa"/>
            <w:tcBorders>
              <w:top w:val="single" w:sz="12" w:space="0" w:color="235E9C"/>
              <w:left w:val="single" w:sz="12" w:space="0" w:color="235E9C"/>
              <w:bottom w:val="single" w:sz="12" w:space="0" w:color="235E9C"/>
              <w:right w:val="single" w:sz="12" w:space="0" w:color="235E9C"/>
            </w:tcBorders>
            <w:hideMark/>
          </w:tcPr>
          <w:p w:rsidR="009331C1" w:rsidRPr="000C6DE0" w:rsidRDefault="009331C1" w:rsidP="003E07A9">
            <w:pPr>
              <w:jc w:val="center"/>
              <w:cnfStyle w:val="000000000000" w:firstRow="0" w:lastRow="0" w:firstColumn="0" w:lastColumn="0" w:oddVBand="0" w:evenVBand="0" w:oddHBand="0" w:evenHBand="0" w:firstRowFirstColumn="0" w:firstRowLastColumn="0" w:lastRowFirstColumn="0" w:lastRowLastColumn="0"/>
              <w:rPr>
                <w:color w:val="31849B"/>
                <w:sz w:val="24"/>
                <w:szCs w:val="20"/>
                <w:lang w:eastAsia="en-GB"/>
              </w:rPr>
            </w:pPr>
            <w:r w:rsidRPr="000C6DE0">
              <w:rPr>
                <w:color w:val="31849B"/>
                <w:sz w:val="24"/>
                <w:szCs w:val="20"/>
                <w:lang w:eastAsia="en-GB"/>
              </w:rPr>
              <w:t>March 2022</w:t>
            </w:r>
          </w:p>
        </w:tc>
        <w:tc>
          <w:tcPr>
            <w:tcW w:w="2619" w:type="dxa"/>
            <w:tcBorders>
              <w:top w:val="single" w:sz="12" w:space="0" w:color="235E9C"/>
              <w:left w:val="single" w:sz="12" w:space="0" w:color="235E9C"/>
              <w:bottom w:val="single" w:sz="12" w:space="0" w:color="235E9C"/>
              <w:right w:val="single" w:sz="12" w:space="0" w:color="235E9C"/>
            </w:tcBorders>
            <w:hideMark/>
          </w:tcPr>
          <w:p w:rsidR="009331C1" w:rsidRPr="000C6DE0" w:rsidRDefault="009331C1" w:rsidP="003E07A9">
            <w:pPr>
              <w:jc w:val="center"/>
              <w:cnfStyle w:val="000000000000" w:firstRow="0" w:lastRow="0" w:firstColumn="0" w:lastColumn="0" w:oddVBand="0" w:evenVBand="0" w:oddHBand="0" w:evenHBand="0" w:firstRowFirstColumn="0" w:firstRowLastColumn="0" w:lastRowFirstColumn="0" w:lastRowLastColumn="0"/>
              <w:rPr>
                <w:color w:val="31849B"/>
                <w:sz w:val="24"/>
                <w:szCs w:val="20"/>
                <w:lang w:eastAsia="en-GB"/>
              </w:rPr>
            </w:pPr>
            <w:r w:rsidRPr="000C6DE0">
              <w:rPr>
                <w:color w:val="31849B"/>
                <w:sz w:val="24"/>
                <w:szCs w:val="20"/>
                <w:lang w:eastAsia="en-GB"/>
              </w:rPr>
              <w:t>March 2024</w:t>
            </w:r>
          </w:p>
        </w:tc>
      </w:tr>
    </w:tbl>
    <w:p w:rsidR="00ED3F80" w:rsidRDefault="009331C1" w:rsidP="00E1452D">
      <w:pPr>
        <w:tabs>
          <w:tab w:val="left" w:pos="3379"/>
        </w:tabs>
      </w:pPr>
      <w:r>
        <w:tab/>
      </w:r>
    </w:p>
    <w:p w:rsidR="00ED3F80" w:rsidRDefault="00ED3F80">
      <w:pPr>
        <w:pBdr>
          <w:top w:val="nil"/>
          <w:left w:val="nil"/>
          <w:bottom w:val="nil"/>
          <w:right w:val="nil"/>
          <w:between w:val="nil"/>
        </w:pBdr>
        <w:tabs>
          <w:tab w:val="left" w:pos="4912"/>
        </w:tabs>
      </w:pPr>
    </w:p>
    <w:p w:rsidR="00ED3F80" w:rsidRDefault="00ED3F80">
      <w:pPr>
        <w:pBdr>
          <w:top w:val="nil"/>
          <w:left w:val="nil"/>
          <w:bottom w:val="nil"/>
          <w:right w:val="nil"/>
          <w:between w:val="nil"/>
        </w:pBdr>
        <w:tabs>
          <w:tab w:val="left" w:pos="4912"/>
        </w:tabs>
        <w:jc w:val="center"/>
        <w:rPr>
          <w:rFonts w:ascii="Calibri" w:eastAsia="Calibri" w:hAnsi="Calibri" w:cs="Calibri"/>
          <w:b/>
        </w:rPr>
      </w:pPr>
    </w:p>
    <w:p w:rsidR="00ED3F80" w:rsidRDefault="00D61389">
      <w:pPr>
        <w:jc w:val="center"/>
        <w:rPr>
          <w:rFonts w:ascii="Calibri" w:eastAsia="Calibri" w:hAnsi="Calibri" w:cs="Calibri"/>
          <w:sz w:val="22"/>
          <w:szCs w:val="22"/>
        </w:rPr>
      </w:pPr>
      <w:r>
        <w:rPr>
          <w:rFonts w:ascii="Verdana" w:eastAsia="Verdana" w:hAnsi="Verdana" w:cs="Verdana"/>
          <w:b/>
          <w:color w:val="1F497D"/>
          <w:sz w:val="52"/>
          <w:szCs w:val="52"/>
        </w:rPr>
        <w:lastRenderedPageBreak/>
        <w:t>Trinity CE</w:t>
      </w:r>
      <w:r>
        <w:rPr>
          <w:rFonts w:ascii="Verdana" w:eastAsia="Verdana" w:hAnsi="Verdana" w:cs="Verdana"/>
          <w:color w:val="1F497D"/>
          <w:sz w:val="52"/>
          <w:szCs w:val="52"/>
        </w:rPr>
        <w:t xml:space="preserve"> </w:t>
      </w:r>
      <w:r>
        <w:rPr>
          <w:rFonts w:ascii="Verdana" w:eastAsia="Verdana" w:hAnsi="Verdana" w:cs="Verdana"/>
          <w:color w:val="1F497D"/>
          <w:sz w:val="52"/>
          <w:szCs w:val="52"/>
          <w:highlight w:val="white"/>
        </w:rPr>
        <w:t>Primary School</w:t>
      </w:r>
    </w:p>
    <w:p w:rsidR="003230E8" w:rsidRDefault="003230E8" w:rsidP="003230E8">
      <w:pPr>
        <w:pBdr>
          <w:top w:val="nil"/>
          <w:left w:val="nil"/>
          <w:bottom w:val="nil"/>
          <w:right w:val="nil"/>
          <w:between w:val="nil"/>
        </w:pBdr>
        <w:tabs>
          <w:tab w:val="left" w:pos="4912"/>
        </w:tabs>
        <w:rPr>
          <w:rFonts w:ascii="Calibri" w:eastAsia="Calibri" w:hAnsi="Calibri" w:cs="Calibri"/>
          <w:b/>
          <w:sz w:val="36"/>
          <w:szCs w:val="36"/>
        </w:rPr>
      </w:pPr>
    </w:p>
    <w:p w:rsidR="00ED3F80" w:rsidRPr="00E1452D" w:rsidRDefault="00D61389">
      <w:pPr>
        <w:pBdr>
          <w:top w:val="nil"/>
          <w:left w:val="nil"/>
          <w:bottom w:val="nil"/>
          <w:right w:val="nil"/>
          <w:between w:val="nil"/>
        </w:pBdr>
        <w:tabs>
          <w:tab w:val="left" w:pos="4912"/>
        </w:tabs>
        <w:jc w:val="center"/>
        <w:rPr>
          <w:rFonts w:ascii="Calibri" w:eastAsia="Calibri" w:hAnsi="Calibri" w:cs="Calibri"/>
          <w:b/>
          <w:sz w:val="36"/>
          <w:szCs w:val="36"/>
        </w:rPr>
      </w:pPr>
      <w:r w:rsidRPr="00E1452D">
        <w:rPr>
          <w:rFonts w:ascii="Calibri" w:eastAsia="Calibri" w:hAnsi="Calibri" w:cs="Calibri"/>
          <w:b/>
          <w:sz w:val="36"/>
          <w:szCs w:val="36"/>
        </w:rPr>
        <w:t>Assessment Policy</w:t>
      </w:r>
    </w:p>
    <w:p w:rsidR="00ED3F80" w:rsidRDefault="00D61389">
      <w:pPr>
        <w:pBdr>
          <w:top w:val="nil"/>
          <w:left w:val="nil"/>
          <w:bottom w:val="nil"/>
          <w:right w:val="nil"/>
          <w:between w:val="nil"/>
        </w:pBdr>
        <w:tabs>
          <w:tab w:val="left" w:pos="4912"/>
        </w:tabs>
        <w:rPr>
          <w:rFonts w:ascii="Calibri" w:eastAsia="Calibri" w:hAnsi="Calibri" w:cs="Calibri"/>
          <w:b/>
          <w:sz w:val="22"/>
          <w:szCs w:val="22"/>
        </w:rPr>
      </w:pPr>
      <w:r>
        <w:rPr>
          <w:rFonts w:ascii="Calibri" w:eastAsia="Calibri" w:hAnsi="Calibri" w:cs="Calibri"/>
          <w:b/>
          <w:sz w:val="22"/>
          <w:szCs w:val="22"/>
        </w:rPr>
        <w:t>1. Aims</w:t>
      </w:r>
    </w:p>
    <w:p w:rsidR="00ED3F80" w:rsidRDefault="00ED3F80">
      <w:pPr>
        <w:pBdr>
          <w:top w:val="nil"/>
          <w:left w:val="nil"/>
          <w:bottom w:val="nil"/>
          <w:right w:val="nil"/>
          <w:between w:val="nil"/>
        </w:pBdr>
        <w:tabs>
          <w:tab w:val="left" w:pos="4912"/>
        </w:tabs>
        <w:rPr>
          <w:rFonts w:ascii="Calibri" w:eastAsia="Calibri" w:hAnsi="Calibri" w:cs="Calibri"/>
          <w:b/>
          <w:sz w:val="22"/>
          <w:szCs w:val="22"/>
        </w:rPr>
      </w:pPr>
    </w:p>
    <w:p w:rsidR="00ED3F80" w:rsidRDefault="00D61389">
      <w:pPr>
        <w:tabs>
          <w:tab w:val="left" w:pos="4912"/>
        </w:tabs>
        <w:rPr>
          <w:rFonts w:ascii="Calibri" w:eastAsia="Calibri" w:hAnsi="Calibri" w:cs="Calibri"/>
          <w:sz w:val="22"/>
          <w:szCs w:val="22"/>
        </w:rPr>
      </w:pPr>
      <w:r>
        <w:rPr>
          <w:rFonts w:ascii="Calibri" w:eastAsia="Calibri" w:hAnsi="Calibri" w:cs="Calibri"/>
          <w:sz w:val="22"/>
          <w:szCs w:val="22"/>
        </w:rPr>
        <w:t>At Trinity we aim to raise standards by:</w:t>
      </w:r>
    </w:p>
    <w:p w:rsidR="00ED3F80" w:rsidRDefault="00D61389">
      <w:pPr>
        <w:numPr>
          <w:ilvl w:val="0"/>
          <w:numId w:val="1"/>
        </w:numPr>
        <w:tabs>
          <w:tab w:val="left" w:pos="4912"/>
        </w:tabs>
        <w:rPr>
          <w:rFonts w:ascii="Calibri" w:eastAsia="Calibri" w:hAnsi="Calibri" w:cs="Calibri"/>
          <w:sz w:val="22"/>
          <w:szCs w:val="22"/>
        </w:rPr>
      </w:pPr>
      <w:r>
        <w:rPr>
          <w:rFonts w:ascii="Calibri" w:eastAsia="Calibri" w:hAnsi="Calibri" w:cs="Calibri"/>
          <w:sz w:val="22"/>
          <w:szCs w:val="22"/>
        </w:rPr>
        <w:t>Linking assessment to improving the quality for all pupils;</w:t>
      </w:r>
    </w:p>
    <w:p w:rsidR="00ED3F80" w:rsidRDefault="00D61389">
      <w:pPr>
        <w:numPr>
          <w:ilvl w:val="0"/>
          <w:numId w:val="1"/>
        </w:numPr>
        <w:tabs>
          <w:tab w:val="left" w:pos="4912"/>
        </w:tabs>
        <w:rPr>
          <w:rFonts w:ascii="Calibri" w:eastAsia="Calibri" w:hAnsi="Calibri" w:cs="Calibri"/>
          <w:sz w:val="22"/>
          <w:szCs w:val="22"/>
        </w:rPr>
      </w:pPr>
      <w:r>
        <w:rPr>
          <w:rFonts w:ascii="Calibri" w:eastAsia="Calibri" w:hAnsi="Calibri" w:cs="Calibri"/>
          <w:sz w:val="22"/>
          <w:szCs w:val="22"/>
        </w:rPr>
        <w:t xml:space="preserve">Ensuring feedback to pupils contributes to improved learning and is focused on specific and tangible objectives; </w:t>
      </w:r>
    </w:p>
    <w:p w:rsidR="00ED3F80" w:rsidRDefault="00D61389">
      <w:pPr>
        <w:numPr>
          <w:ilvl w:val="0"/>
          <w:numId w:val="1"/>
        </w:numPr>
        <w:tabs>
          <w:tab w:val="left" w:pos="4912"/>
        </w:tabs>
        <w:rPr>
          <w:rFonts w:ascii="Calibri" w:eastAsia="Calibri" w:hAnsi="Calibri" w:cs="Calibri"/>
          <w:sz w:val="22"/>
          <w:szCs w:val="22"/>
        </w:rPr>
      </w:pPr>
      <w:r>
        <w:rPr>
          <w:rFonts w:ascii="Calibri" w:eastAsia="Calibri" w:hAnsi="Calibri" w:cs="Calibri"/>
          <w:sz w:val="22"/>
          <w:szCs w:val="22"/>
        </w:rPr>
        <w:t xml:space="preserve">Producing recordable measures that can demonstrate comparison against expected standards and internal and external targets; </w:t>
      </w:r>
      <w:r>
        <w:rPr>
          <w:rFonts w:ascii="Calibri" w:eastAsia="Calibri" w:hAnsi="Calibri" w:cs="Calibri"/>
          <w:i/>
          <w:sz w:val="22"/>
          <w:szCs w:val="22"/>
        </w:rPr>
        <w:t>and</w:t>
      </w:r>
    </w:p>
    <w:p w:rsidR="00ED3F80" w:rsidRDefault="00D61389">
      <w:pPr>
        <w:numPr>
          <w:ilvl w:val="0"/>
          <w:numId w:val="1"/>
        </w:numPr>
        <w:tabs>
          <w:tab w:val="left" w:pos="4912"/>
        </w:tabs>
        <w:rPr>
          <w:rFonts w:ascii="Calibri" w:eastAsia="Calibri" w:hAnsi="Calibri" w:cs="Calibri"/>
          <w:sz w:val="22"/>
          <w:szCs w:val="22"/>
        </w:rPr>
      </w:pPr>
      <w:r>
        <w:rPr>
          <w:rFonts w:ascii="Calibri" w:eastAsia="Calibri" w:hAnsi="Calibri" w:cs="Calibri"/>
          <w:sz w:val="22"/>
          <w:szCs w:val="22"/>
        </w:rPr>
        <w:t>Ensuring assessment feedback inspires greater effort and a belief that, through hard work and practice, more can be achieved.</w:t>
      </w:r>
    </w:p>
    <w:p w:rsidR="00ED3F80" w:rsidRDefault="00ED3F80">
      <w:pPr>
        <w:pBdr>
          <w:top w:val="nil"/>
          <w:left w:val="nil"/>
          <w:bottom w:val="nil"/>
          <w:right w:val="nil"/>
          <w:between w:val="nil"/>
        </w:pBdr>
        <w:tabs>
          <w:tab w:val="left" w:pos="4912"/>
        </w:tabs>
        <w:rPr>
          <w:rFonts w:ascii="Calibri" w:eastAsia="Calibri" w:hAnsi="Calibri" w:cs="Calibri"/>
          <w:sz w:val="22"/>
          <w:szCs w:val="22"/>
        </w:rPr>
      </w:pPr>
    </w:p>
    <w:p w:rsidR="00ED3F80" w:rsidRDefault="00ED3F80">
      <w:pPr>
        <w:pBdr>
          <w:top w:val="nil"/>
          <w:left w:val="nil"/>
          <w:bottom w:val="nil"/>
          <w:right w:val="nil"/>
          <w:between w:val="nil"/>
        </w:pBdr>
        <w:tabs>
          <w:tab w:val="left" w:pos="4912"/>
        </w:tabs>
        <w:rPr>
          <w:rFonts w:ascii="Calibri" w:eastAsia="Calibri" w:hAnsi="Calibri" w:cs="Calibri"/>
          <w:sz w:val="22"/>
          <w:szCs w:val="22"/>
        </w:rPr>
      </w:pPr>
    </w:p>
    <w:p w:rsidR="00ED3F80" w:rsidRDefault="00D61389">
      <w:pPr>
        <w:tabs>
          <w:tab w:val="left" w:pos="4912"/>
        </w:tabs>
        <w:rPr>
          <w:rFonts w:ascii="Calibri" w:eastAsia="Calibri" w:hAnsi="Calibri" w:cs="Calibri"/>
          <w:b/>
          <w:sz w:val="22"/>
          <w:szCs w:val="22"/>
        </w:rPr>
      </w:pPr>
      <w:r>
        <w:rPr>
          <w:rFonts w:ascii="Calibri" w:eastAsia="Calibri" w:hAnsi="Calibri" w:cs="Calibri"/>
          <w:b/>
          <w:sz w:val="22"/>
          <w:szCs w:val="22"/>
        </w:rPr>
        <w:t>2. Statutory National Assessment</w:t>
      </w:r>
    </w:p>
    <w:p w:rsidR="00ED3F80" w:rsidRDefault="00ED3F80">
      <w:pPr>
        <w:tabs>
          <w:tab w:val="left" w:pos="4912"/>
        </w:tabs>
        <w:rPr>
          <w:rFonts w:ascii="Calibri" w:eastAsia="Calibri" w:hAnsi="Calibri" w:cs="Calibri"/>
          <w:sz w:val="22"/>
          <w:szCs w:val="22"/>
        </w:rPr>
      </w:pPr>
    </w:p>
    <w:p w:rsidR="00ED3F80" w:rsidRDefault="00D61389">
      <w:pPr>
        <w:tabs>
          <w:tab w:val="left" w:pos="4912"/>
        </w:tabs>
        <w:rPr>
          <w:rFonts w:ascii="Calibri" w:eastAsia="Calibri" w:hAnsi="Calibri" w:cs="Calibri"/>
          <w:i/>
          <w:sz w:val="22"/>
          <w:szCs w:val="22"/>
        </w:rPr>
      </w:pPr>
      <w:r>
        <w:rPr>
          <w:rFonts w:ascii="Calibri" w:eastAsia="Calibri" w:hAnsi="Calibri" w:cs="Calibri"/>
          <w:sz w:val="22"/>
          <w:szCs w:val="22"/>
        </w:rPr>
        <w:t>At Trinity, pupils will all participate in the Statutory National Assessments including the EYFS profile, Year 1 (and 2) Phonics Screening Check, Year 4 Multiplication Tables Check and the End of Key Stage Assessments for Year 2 and Year 6.</w:t>
      </w:r>
    </w:p>
    <w:p w:rsidR="00ED3F80" w:rsidRDefault="00ED3F80">
      <w:pPr>
        <w:tabs>
          <w:tab w:val="left" w:pos="4912"/>
        </w:tabs>
        <w:rPr>
          <w:rFonts w:ascii="Calibri" w:eastAsia="Calibri" w:hAnsi="Calibri" w:cs="Calibri"/>
          <w:i/>
          <w:sz w:val="22"/>
          <w:szCs w:val="22"/>
        </w:rPr>
      </w:pPr>
    </w:p>
    <w:p w:rsidR="00ED3F80" w:rsidRDefault="00ED3F80">
      <w:pPr>
        <w:pBdr>
          <w:top w:val="nil"/>
          <w:left w:val="nil"/>
          <w:bottom w:val="nil"/>
          <w:right w:val="nil"/>
          <w:between w:val="nil"/>
        </w:pBdr>
        <w:tabs>
          <w:tab w:val="left" w:pos="4912"/>
        </w:tabs>
        <w:rPr>
          <w:rFonts w:ascii="Calibri" w:eastAsia="Calibri" w:hAnsi="Calibri" w:cs="Calibri"/>
          <w:sz w:val="22"/>
          <w:szCs w:val="22"/>
        </w:rPr>
      </w:pPr>
    </w:p>
    <w:p w:rsidR="00ED3F80" w:rsidRDefault="00D61389">
      <w:pPr>
        <w:tabs>
          <w:tab w:val="left" w:pos="4912"/>
        </w:tabs>
        <w:rPr>
          <w:rFonts w:ascii="Calibri" w:eastAsia="Calibri" w:hAnsi="Calibri" w:cs="Calibri"/>
          <w:b/>
          <w:sz w:val="22"/>
          <w:szCs w:val="22"/>
        </w:rPr>
      </w:pPr>
      <w:r>
        <w:rPr>
          <w:rFonts w:ascii="Calibri" w:eastAsia="Calibri" w:hAnsi="Calibri" w:cs="Calibri"/>
          <w:b/>
          <w:sz w:val="22"/>
          <w:szCs w:val="22"/>
        </w:rPr>
        <w:t>3. Method of Internal Assessment for Reception</w:t>
      </w:r>
    </w:p>
    <w:p w:rsidR="00ED3F80" w:rsidRDefault="00ED3F80">
      <w:pPr>
        <w:tabs>
          <w:tab w:val="left" w:pos="4912"/>
        </w:tabs>
        <w:rPr>
          <w:rFonts w:ascii="Calibri" w:eastAsia="Calibri" w:hAnsi="Calibri" w:cs="Calibri"/>
          <w:b/>
          <w:sz w:val="22"/>
          <w:szCs w:val="22"/>
        </w:rPr>
      </w:pPr>
    </w:p>
    <w:p w:rsidR="00ED3F80" w:rsidRDefault="00D61389">
      <w:pPr>
        <w:tabs>
          <w:tab w:val="left" w:pos="4912"/>
        </w:tabs>
        <w:rPr>
          <w:rFonts w:ascii="Calibri" w:eastAsia="Calibri" w:hAnsi="Calibri" w:cs="Calibri"/>
          <w:sz w:val="22"/>
          <w:szCs w:val="22"/>
        </w:rPr>
      </w:pPr>
      <w:r>
        <w:rPr>
          <w:rFonts w:ascii="Calibri" w:eastAsia="Calibri" w:hAnsi="Calibri" w:cs="Calibri"/>
          <w:sz w:val="22"/>
          <w:szCs w:val="22"/>
        </w:rPr>
        <w:t>Ongoing assessment is an integral part of the learning and development process in Reception. Regular assessment takes the form of observations and photographs to evidence children’s progress towards the Early Learning Goals.  Four times a year teachers will record children’s achievements against the Development Matters age bands to show the stage the child is working within and the progress they have made.  At the end of the Reception year, the children are assessed against the 17 EYFS Profile Early Learning Goals, stating whether they are Emerging, Expected (or working at Greater Depth within the Expected standard - non-statutory for internal analysis only). These assessments are submitted as part of the EYFS profile. They are also shared with parents and are used to provide transition information for the Year 1 teachers.</w:t>
      </w:r>
    </w:p>
    <w:p w:rsidR="00ED3F80" w:rsidRDefault="00ED3F80">
      <w:pPr>
        <w:pBdr>
          <w:top w:val="nil"/>
          <w:left w:val="nil"/>
          <w:bottom w:val="nil"/>
          <w:right w:val="nil"/>
          <w:between w:val="nil"/>
        </w:pBdr>
        <w:tabs>
          <w:tab w:val="left" w:pos="4912"/>
        </w:tabs>
        <w:rPr>
          <w:rFonts w:ascii="Calibri" w:eastAsia="Calibri" w:hAnsi="Calibri" w:cs="Calibri"/>
          <w:b/>
          <w:sz w:val="22"/>
          <w:szCs w:val="22"/>
        </w:rPr>
      </w:pPr>
    </w:p>
    <w:p w:rsidR="00ED3F80" w:rsidRDefault="00ED3F80">
      <w:pPr>
        <w:pBdr>
          <w:top w:val="nil"/>
          <w:left w:val="nil"/>
          <w:bottom w:val="nil"/>
          <w:right w:val="nil"/>
          <w:between w:val="nil"/>
        </w:pBdr>
        <w:tabs>
          <w:tab w:val="left" w:pos="4912"/>
        </w:tabs>
        <w:rPr>
          <w:rFonts w:ascii="Calibri" w:eastAsia="Calibri" w:hAnsi="Calibri" w:cs="Calibri"/>
          <w:b/>
          <w:sz w:val="22"/>
          <w:szCs w:val="22"/>
        </w:rPr>
      </w:pPr>
    </w:p>
    <w:p w:rsidR="00ED3F80" w:rsidRDefault="00D61389">
      <w:pPr>
        <w:pBdr>
          <w:top w:val="nil"/>
          <w:left w:val="nil"/>
          <w:bottom w:val="nil"/>
          <w:right w:val="nil"/>
          <w:between w:val="nil"/>
        </w:pBdr>
        <w:tabs>
          <w:tab w:val="left" w:pos="4912"/>
        </w:tabs>
        <w:rPr>
          <w:rFonts w:ascii="Calibri" w:eastAsia="Calibri" w:hAnsi="Calibri" w:cs="Calibri"/>
          <w:sz w:val="22"/>
          <w:szCs w:val="22"/>
        </w:rPr>
      </w:pPr>
      <w:r>
        <w:rPr>
          <w:rFonts w:ascii="Calibri" w:eastAsia="Calibri" w:hAnsi="Calibri" w:cs="Calibri"/>
          <w:b/>
          <w:sz w:val="22"/>
          <w:szCs w:val="22"/>
        </w:rPr>
        <w:t>4. Method of Internal Assessment for Years 1-6 (Reading, Writing [including grammar] and Maths)</w:t>
      </w:r>
    </w:p>
    <w:p w:rsidR="00ED3F80" w:rsidRDefault="00ED3F80">
      <w:pPr>
        <w:pBdr>
          <w:top w:val="nil"/>
          <w:left w:val="nil"/>
          <w:bottom w:val="nil"/>
          <w:right w:val="nil"/>
          <w:between w:val="nil"/>
        </w:pBdr>
        <w:tabs>
          <w:tab w:val="left" w:pos="4912"/>
        </w:tabs>
        <w:rPr>
          <w:rFonts w:ascii="Calibri" w:eastAsia="Calibri" w:hAnsi="Calibri" w:cs="Calibri"/>
          <w:sz w:val="22"/>
          <w:szCs w:val="22"/>
        </w:rPr>
      </w:pPr>
    </w:p>
    <w:p w:rsidR="00ED3F80" w:rsidRDefault="00D61389">
      <w:pPr>
        <w:pBdr>
          <w:top w:val="nil"/>
          <w:left w:val="nil"/>
          <w:bottom w:val="nil"/>
          <w:right w:val="nil"/>
          <w:between w:val="nil"/>
        </w:pBdr>
        <w:tabs>
          <w:tab w:val="left" w:pos="4912"/>
        </w:tabs>
        <w:rPr>
          <w:rFonts w:ascii="Calibri" w:eastAsia="Calibri" w:hAnsi="Calibri" w:cs="Calibri"/>
          <w:sz w:val="22"/>
          <w:szCs w:val="22"/>
        </w:rPr>
      </w:pPr>
      <w:r>
        <w:rPr>
          <w:rFonts w:ascii="Calibri" w:eastAsia="Calibri" w:hAnsi="Calibri" w:cs="Calibri"/>
          <w:sz w:val="22"/>
          <w:szCs w:val="22"/>
        </w:rPr>
        <w:t>As in Reception, ongoing assessment is key so that teachers can plan the learning for every pupil to ensure they meet or exceed age-related expectations. Pupils are continually assessed against year group expectations, which cover the Programmes of Study for the 2014 Primary Curriculum. These judgements are supported by a wide range of evidence including book scrutiny, pupil interviews, learning walk, lesson observations and tests</w:t>
      </w:r>
      <w:r>
        <w:rPr>
          <w:rFonts w:ascii="Calibri" w:eastAsia="Calibri" w:hAnsi="Calibri" w:cs="Calibri"/>
          <w:sz w:val="22"/>
          <w:szCs w:val="22"/>
        </w:rPr>
        <w:tab/>
        <w:t xml:space="preserve">. </w:t>
      </w:r>
    </w:p>
    <w:p w:rsidR="00ED3F80" w:rsidRDefault="00ED3F80">
      <w:pPr>
        <w:pBdr>
          <w:top w:val="nil"/>
          <w:left w:val="nil"/>
          <w:bottom w:val="nil"/>
          <w:right w:val="nil"/>
          <w:between w:val="nil"/>
        </w:pBdr>
        <w:tabs>
          <w:tab w:val="left" w:pos="4912"/>
        </w:tabs>
        <w:rPr>
          <w:rFonts w:ascii="Calibri" w:eastAsia="Calibri" w:hAnsi="Calibri" w:cs="Calibri"/>
          <w:sz w:val="22"/>
          <w:szCs w:val="22"/>
        </w:rPr>
      </w:pPr>
    </w:p>
    <w:p w:rsidR="00ED3F80" w:rsidRDefault="00D61389">
      <w:pPr>
        <w:pBdr>
          <w:top w:val="nil"/>
          <w:left w:val="nil"/>
          <w:bottom w:val="nil"/>
          <w:right w:val="nil"/>
          <w:between w:val="nil"/>
        </w:pBdr>
        <w:tabs>
          <w:tab w:val="left" w:pos="4912"/>
        </w:tabs>
        <w:rPr>
          <w:rFonts w:ascii="Calibri" w:eastAsia="Calibri" w:hAnsi="Calibri" w:cs="Calibri"/>
          <w:sz w:val="22"/>
          <w:szCs w:val="22"/>
        </w:rPr>
      </w:pPr>
      <w:r>
        <w:rPr>
          <w:rFonts w:ascii="Calibri" w:eastAsia="Calibri" w:hAnsi="Calibri" w:cs="Calibri"/>
          <w:sz w:val="22"/>
          <w:szCs w:val="22"/>
        </w:rPr>
        <w:t xml:space="preserve">In addition to this ongoing assessment, pupils in Years 1-5 also complete nationally standardised tests in Maths (PUMA), Reading (PIRA) and Spellings (NFER - Years 3-5 only). In Year 6, children will sit practice SATs papers approximately 5 times per year for Maths, Reading, Spelling, Punctuation and Grammar.  Specific summative assessment dates are agreed internally at the beginning of the academic year. Other </w:t>
      </w:r>
      <w:r>
        <w:rPr>
          <w:rFonts w:ascii="Calibri" w:eastAsia="Calibri" w:hAnsi="Calibri" w:cs="Calibri"/>
          <w:sz w:val="22"/>
          <w:szCs w:val="22"/>
        </w:rPr>
        <w:lastRenderedPageBreak/>
        <w:t>tests such as practice Multiplication Tables Check and Phonics Screening practice tests may also be used as directed by phase leaders.</w:t>
      </w:r>
    </w:p>
    <w:p w:rsidR="00ED3F80" w:rsidRDefault="00ED3F80">
      <w:pPr>
        <w:pBdr>
          <w:top w:val="nil"/>
          <w:left w:val="nil"/>
          <w:bottom w:val="nil"/>
          <w:right w:val="nil"/>
          <w:between w:val="nil"/>
        </w:pBdr>
        <w:tabs>
          <w:tab w:val="left" w:pos="4912"/>
        </w:tabs>
        <w:rPr>
          <w:rFonts w:ascii="Calibri" w:eastAsia="Calibri" w:hAnsi="Calibri" w:cs="Calibri"/>
          <w:sz w:val="22"/>
          <w:szCs w:val="22"/>
        </w:rPr>
      </w:pPr>
    </w:p>
    <w:p w:rsidR="00ED3F80" w:rsidRDefault="00D61389">
      <w:pPr>
        <w:pBdr>
          <w:top w:val="nil"/>
          <w:left w:val="nil"/>
          <w:bottom w:val="nil"/>
          <w:right w:val="nil"/>
          <w:between w:val="nil"/>
        </w:pBdr>
        <w:tabs>
          <w:tab w:val="left" w:pos="4912"/>
        </w:tabs>
        <w:rPr>
          <w:rFonts w:ascii="Calibri" w:eastAsia="Calibri" w:hAnsi="Calibri" w:cs="Calibri"/>
          <w:sz w:val="22"/>
          <w:szCs w:val="22"/>
        </w:rPr>
      </w:pPr>
      <w:r>
        <w:rPr>
          <w:rFonts w:ascii="Calibri" w:eastAsia="Calibri" w:hAnsi="Calibri" w:cs="Calibri"/>
          <w:sz w:val="22"/>
          <w:szCs w:val="22"/>
        </w:rPr>
        <w:t xml:space="preserve">At the end of each term, teachers combine the test data with their observations and formative assessments to form a teacher assessment indicating how well the child is achieving compared to their age-related expectations (working towards the expected standard - WTS, working at the expected standard - EXS, working at greater depth within the expected standard - GDS). These teacher assessments are used to produce a termly data analysis report which helps to identify children and groups who will need extra support in the following term. </w:t>
      </w:r>
    </w:p>
    <w:p w:rsidR="00ED3F80" w:rsidRDefault="00ED3F80">
      <w:pPr>
        <w:tabs>
          <w:tab w:val="left" w:pos="4912"/>
        </w:tabs>
        <w:rPr>
          <w:rFonts w:ascii="Calibri" w:eastAsia="Calibri" w:hAnsi="Calibri" w:cs="Calibri"/>
          <w:sz w:val="22"/>
          <w:szCs w:val="22"/>
        </w:rPr>
      </w:pPr>
    </w:p>
    <w:p w:rsidR="00ED3F80" w:rsidRDefault="00ED3F80">
      <w:pPr>
        <w:tabs>
          <w:tab w:val="left" w:pos="4912"/>
        </w:tabs>
        <w:rPr>
          <w:rFonts w:ascii="Calibri" w:eastAsia="Calibri" w:hAnsi="Calibri" w:cs="Calibri"/>
          <w:sz w:val="22"/>
          <w:szCs w:val="22"/>
        </w:rPr>
      </w:pPr>
    </w:p>
    <w:p w:rsidR="00ED3F80" w:rsidRDefault="00D61389">
      <w:pPr>
        <w:tabs>
          <w:tab w:val="left" w:pos="4912"/>
        </w:tabs>
        <w:rPr>
          <w:rFonts w:ascii="Calibri" w:eastAsia="Calibri" w:hAnsi="Calibri" w:cs="Calibri"/>
          <w:b/>
          <w:sz w:val="22"/>
          <w:szCs w:val="22"/>
        </w:rPr>
      </w:pPr>
      <w:r>
        <w:rPr>
          <w:rFonts w:ascii="Calibri" w:eastAsia="Calibri" w:hAnsi="Calibri" w:cs="Calibri"/>
          <w:b/>
          <w:sz w:val="22"/>
          <w:szCs w:val="22"/>
        </w:rPr>
        <w:t>5. Method of Internal Assessment for Years 1-6 (Science and Foundation Subjects)</w:t>
      </w:r>
    </w:p>
    <w:p w:rsidR="00ED3F80" w:rsidRDefault="00ED3F80">
      <w:pPr>
        <w:tabs>
          <w:tab w:val="left" w:pos="4912"/>
        </w:tabs>
        <w:rPr>
          <w:rFonts w:ascii="Calibri" w:eastAsia="Calibri" w:hAnsi="Calibri" w:cs="Calibri"/>
          <w:sz w:val="22"/>
          <w:szCs w:val="22"/>
        </w:rPr>
      </w:pPr>
    </w:p>
    <w:p w:rsidR="00ED3F80" w:rsidRDefault="00D61389">
      <w:pPr>
        <w:tabs>
          <w:tab w:val="left" w:pos="4912"/>
        </w:tabs>
        <w:rPr>
          <w:rFonts w:ascii="Calibri" w:eastAsia="Calibri" w:hAnsi="Calibri" w:cs="Calibri"/>
          <w:sz w:val="22"/>
          <w:szCs w:val="22"/>
        </w:rPr>
      </w:pPr>
      <w:r>
        <w:rPr>
          <w:rFonts w:ascii="Calibri" w:eastAsia="Calibri" w:hAnsi="Calibri" w:cs="Calibri"/>
          <w:sz w:val="22"/>
          <w:szCs w:val="22"/>
        </w:rPr>
        <w:t xml:space="preserve">Assessment in Science and the foundation subjects is on-going and gathered through a range of assessment techniques including talking to children in lessons, whole-class feedback sheets, observations, books, quizzes and other assessment opportunities that are planned for. </w:t>
      </w:r>
    </w:p>
    <w:p w:rsidR="00ED3F80" w:rsidRDefault="00ED3F80">
      <w:pPr>
        <w:tabs>
          <w:tab w:val="left" w:pos="4912"/>
        </w:tabs>
        <w:rPr>
          <w:rFonts w:ascii="Calibri" w:eastAsia="Calibri" w:hAnsi="Calibri" w:cs="Calibri"/>
          <w:sz w:val="22"/>
          <w:szCs w:val="22"/>
        </w:rPr>
      </w:pPr>
    </w:p>
    <w:p w:rsidR="00ED3F80" w:rsidRDefault="00D61389">
      <w:pPr>
        <w:tabs>
          <w:tab w:val="left" w:pos="4912"/>
        </w:tabs>
        <w:rPr>
          <w:rFonts w:ascii="Calibri" w:eastAsia="Calibri" w:hAnsi="Calibri" w:cs="Calibri"/>
          <w:sz w:val="22"/>
          <w:szCs w:val="22"/>
        </w:rPr>
      </w:pPr>
      <w:r>
        <w:rPr>
          <w:rFonts w:ascii="Calibri" w:eastAsia="Calibri" w:hAnsi="Calibri" w:cs="Calibri"/>
          <w:sz w:val="22"/>
          <w:szCs w:val="22"/>
        </w:rPr>
        <w:t>At the end of each term, teachers make a summative teacher assessment judgement indicating how well the child is achieving compared to their age-related expectations (working towards the expected standard - WTS, working at the expected standard - EXS, working at greater depth within the expected standard - GDS). These judgements are informed by the on-going assessment techniques stated above.</w:t>
      </w:r>
    </w:p>
    <w:p w:rsidR="00ED3F80" w:rsidRDefault="00ED3F80">
      <w:pPr>
        <w:tabs>
          <w:tab w:val="left" w:pos="4912"/>
        </w:tabs>
        <w:rPr>
          <w:rFonts w:ascii="Calibri" w:eastAsia="Calibri" w:hAnsi="Calibri" w:cs="Calibri"/>
          <w:sz w:val="22"/>
          <w:szCs w:val="22"/>
        </w:rPr>
      </w:pPr>
    </w:p>
    <w:p w:rsidR="00ED3F80" w:rsidRDefault="00D61389">
      <w:pPr>
        <w:tabs>
          <w:tab w:val="left" w:pos="4912"/>
        </w:tabs>
        <w:rPr>
          <w:rFonts w:ascii="Calibri" w:eastAsia="Calibri" w:hAnsi="Calibri" w:cs="Calibri"/>
          <w:sz w:val="22"/>
          <w:szCs w:val="22"/>
        </w:rPr>
      </w:pPr>
      <w:r>
        <w:rPr>
          <w:rFonts w:ascii="Calibri" w:eastAsia="Calibri" w:hAnsi="Calibri" w:cs="Calibri"/>
          <w:sz w:val="22"/>
          <w:szCs w:val="22"/>
        </w:rPr>
        <w:t xml:space="preserve">In addition, we have created a set of “Progression of Knowledge” and “Progression of Skills” documents which provide a key tool for teachers to make summative judgements in these subjects. They provide teachers with key criteria that children should be meeting at the end of each unit of work/school year in order to assess on a termly basis whether children are working within age-related expectations. </w:t>
      </w:r>
    </w:p>
    <w:p w:rsidR="00ED3F80" w:rsidRDefault="00ED3F80">
      <w:pPr>
        <w:tabs>
          <w:tab w:val="left" w:pos="4912"/>
        </w:tabs>
        <w:rPr>
          <w:rFonts w:ascii="Calibri" w:eastAsia="Calibri" w:hAnsi="Calibri" w:cs="Calibri"/>
          <w:sz w:val="22"/>
          <w:szCs w:val="22"/>
        </w:rPr>
      </w:pPr>
    </w:p>
    <w:p w:rsidR="00ED3F80" w:rsidRDefault="00D61389">
      <w:pPr>
        <w:tabs>
          <w:tab w:val="left" w:pos="4912"/>
        </w:tabs>
        <w:rPr>
          <w:rFonts w:ascii="Calibri" w:eastAsia="Calibri" w:hAnsi="Calibri" w:cs="Calibri"/>
          <w:sz w:val="22"/>
          <w:szCs w:val="22"/>
        </w:rPr>
      </w:pPr>
      <w:r>
        <w:rPr>
          <w:rFonts w:ascii="Calibri" w:eastAsia="Calibri" w:hAnsi="Calibri" w:cs="Calibri"/>
          <w:sz w:val="22"/>
          <w:szCs w:val="22"/>
        </w:rPr>
        <w:t xml:space="preserve">As with English and Maths, these teacher assessments are used by subject leaders to identify children and groups who will need extra support in the following term. </w:t>
      </w:r>
    </w:p>
    <w:p w:rsidR="00ED3F80" w:rsidRDefault="00ED3F80">
      <w:pPr>
        <w:tabs>
          <w:tab w:val="left" w:pos="4912"/>
        </w:tabs>
        <w:rPr>
          <w:rFonts w:ascii="Calibri" w:eastAsia="Calibri" w:hAnsi="Calibri" w:cs="Calibri"/>
          <w:sz w:val="22"/>
          <w:szCs w:val="22"/>
        </w:rPr>
      </w:pPr>
    </w:p>
    <w:p w:rsidR="00ED3F80" w:rsidRDefault="00ED3F80">
      <w:pPr>
        <w:pBdr>
          <w:top w:val="nil"/>
          <w:left w:val="nil"/>
          <w:bottom w:val="nil"/>
          <w:right w:val="nil"/>
          <w:between w:val="nil"/>
        </w:pBdr>
        <w:tabs>
          <w:tab w:val="left" w:pos="4912"/>
        </w:tabs>
        <w:rPr>
          <w:rFonts w:ascii="Calibri" w:eastAsia="Calibri" w:hAnsi="Calibri" w:cs="Calibri"/>
          <w:sz w:val="22"/>
          <w:szCs w:val="22"/>
        </w:rPr>
      </w:pPr>
    </w:p>
    <w:p w:rsidR="00ED3F80" w:rsidRDefault="00D61389">
      <w:pPr>
        <w:tabs>
          <w:tab w:val="left" w:pos="4912"/>
        </w:tabs>
        <w:rPr>
          <w:rFonts w:ascii="Calibri" w:eastAsia="Calibri" w:hAnsi="Calibri" w:cs="Calibri"/>
          <w:b/>
          <w:sz w:val="22"/>
          <w:szCs w:val="22"/>
        </w:rPr>
      </w:pPr>
      <w:r>
        <w:rPr>
          <w:rFonts w:ascii="Calibri" w:eastAsia="Calibri" w:hAnsi="Calibri" w:cs="Calibri"/>
          <w:b/>
          <w:sz w:val="22"/>
          <w:szCs w:val="22"/>
        </w:rPr>
        <w:t>6. Robust Data through a Cycle of Moderation</w:t>
      </w:r>
    </w:p>
    <w:p w:rsidR="00ED3F80" w:rsidRDefault="00ED3F80">
      <w:pPr>
        <w:tabs>
          <w:tab w:val="left" w:pos="4912"/>
        </w:tabs>
        <w:rPr>
          <w:rFonts w:ascii="Calibri" w:eastAsia="Calibri" w:hAnsi="Calibri" w:cs="Calibri"/>
          <w:b/>
          <w:sz w:val="22"/>
          <w:szCs w:val="22"/>
        </w:rPr>
      </w:pPr>
    </w:p>
    <w:p w:rsidR="00ED3F80" w:rsidRDefault="00D61389">
      <w:pPr>
        <w:tabs>
          <w:tab w:val="left" w:pos="4912"/>
        </w:tabs>
        <w:rPr>
          <w:rFonts w:ascii="Calibri" w:eastAsia="Calibri" w:hAnsi="Calibri" w:cs="Calibri"/>
          <w:sz w:val="22"/>
          <w:szCs w:val="22"/>
        </w:rPr>
      </w:pPr>
      <w:r>
        <w:rPr>
          <w:rFonts w:ascii="Calibri" w:eastAsia="Calibri" w:hAnsi="Calibri" w:cs="Calibri"/>
          <w:sz w:val="22"/>
          <w:szCs w:val="22"/>
        </w:rPr>
        <w:t xml:space="preserve">Moderation and standardisation is a key feature of successful assessment.  At Trinity this is done throughout the year and at every assessment point, between classes, across the school and with other schools to ensure reliable, fair and accurate data. For Maths and English we also use our test scores which are nationally standardised to help triangulate our teacher assessments. Assessment judgements are moderated by colleagues in school and by colleagues outside of school regularly to make sure our assessments are </w:t>
      </w:r>
      <w:r>
        <w:rPr>
          <w:rFonts w:ascii="Calibri" w:eastAsia="Calibri" w:hAnsi="Calibri" w:cs="Calibri"/>
          <w:i/>
          <w:sz w:val="22"/>
          <w:szCs w:val="22"/>
        </w:rPr>
        <w:t xml:space="preserve">fair, reliable and valid. </w:t>
      </w:r>
      <w:r>
        <w:rPr>
          <w:rFonts w:ascii="Calibri" w:eastAsia="Calibri" w:hAnsi="Calibri" w:cs="Calibri"/>
          <w:sz w:val="22"/>
          <w:szCs w:val="22"/>
        </w:rPr>
        <w:t xml:space="preserve">Specific time for moderation and book </w:t>
      </w:r>
      <w:proofErr w:type="spellStart"/>
      <w:r>
        <w:rPr>
          <w:rFonts w:ascii="Calibri" w:eastAsia="Calibri" w:hAnsi="Calibri" w:cs="Calibri"/>
          <w:sz w:val="22"/>
          <w:szCs w:val="22"/>
        </w:rPr>
        <w:t>scrutinies</w:t>
      </w:r>
      <w:proofErr w:type="spellEnd"/>
      <w:r>
        <w:rPr>
          <w:rFonts w:ascii="Calibri" w:eastAsia="Calibri" w:hAnsi="Calibri" w:cs="Calibri"/>
          <w:sz w:val="22"/>
          <w:szCs w:val="22"/>
        </w:rPr>
        <w:t xml:space="preserve"> where evidence to support teacher judgements will be analysed is timetabled into our staff CPD schedule.</w:t>
      </w:r>
    </w:p>
    <w:p w:rsidR="00ED3F80" w:rsidRDefault="00ED3F80">
      <w:pPr>
        <w:pBdr>
          <w:top w:val="nil"/>
          <w:left w:val="nil"/>
          <w:bottom w:val="nil"/>
          <w:right w:val="nil"/>
          <w:between w:val="nil"/>
        </w:pBdr>
        <w:tabs>
          <w:tab w:val="left" w:pos="4912"/>
        </w:tabs>
        <w:rPr>
          <w:rFonts w:ascii="Calibri" w:eastAsia="Calibri" w:hAnsi="Calibri" w:cs="Calibri"/>
          <w:sz w:val="22"/>
          <w:szCs w:val="22"/>
        </w:rPr>
      </w:pPr>
    </w:p>
    <w:p w:rsidR="00ED3F80" w:rsidRDefault="00ED3F80">
      <w:pPr>
        <w:pBdr>
          <w:top w:val="nil"/>
          <w:left w:val="nil"/>
          <w:bottom w:val="nil"/>
          <w:right w:val="nil"/>
          <w:between w:val="nil"/>
        </w:pBdr>
        <w:tabs>
          <w:tab w:val="left" w:pos="4912"/>
        </w:tabs>
        <w:rPr>
          <w:rFonts w:ascii="Calibri" w:eastAsia="Calibri" w:hAnsi="Calibri" w:cs="Calibri"/>
          <w:sz w:val="22"/>
          <w:szCs w:val="22"/>
        </w:rPr>
      </w:pPr>
    </w:p>
    <w:p w:rsidR="00ED3F80" w:rsidRDefault="00D61389">
      <w:pPr>
        <w:spacing w:line="276" w:lineRule="auto"/>
        <w:rPr>
          <w:rFonts w:ascii="Calibri" w:eastAsia="Calibri" w:hAnsi="Calibri" w:cs="Calibri"/>
          <w:b/>
          <w:sz w:val="22"/>
          <w:szCs w:val="22"/>
        </w:rPr>
      </w:pPr>
      <w:r>
        <w:rPr>
          <w:rFonts w:ascii="Calibri" w:eastAsia="Calibri" w:hAnsi="Calibri" w:cs="Calibri"/>
          <w:b/>
          <w:sz w:val="22"/>
          <w:szCs w:val="22"/>
        </w:rPr>
        <w:t>7. Monitoring and Review</w:t>
      </w:r>
    </w:p>
    <w:p w:rsidR="00ED3F80" w:rsidRDefault="00ED3F80">
      <w:pPr>
        <w:spacing w:line="276" w:lineRule="auto"/>
        <w:rPr>
          <w:rFonts w:ascii="Calibri" w:eastAsia="Calibri" w:hAnsi="Calibri" w:cs="Calibri"/>
          <w:sz w:val="22"/>
          <w:szCs w:val="22"/>
        </w:rPr>
      </w:pPr>
    </w:p>
    <w:p w:rsidR="00ED3F80" w:rsidRDefault="00D61389">
      <w:pPr>
        <w:rPr>
          <w:rFonts w:ascii="Calibri" w:eastAsia="Calibri" w:hAnsi="Calibri" w:cs="Calibri"/>
          <w:sz w:val="22"/>
          <w:szCs w:val="22"/>
        </w:rPr>
      </w:pPr>
      <w:r>
        <w:rPr>
          <w:rFonts w:ascii="Calibri" w:eastAsia="Calibri" w:hAnsi="Calibri" w:cs="Calibri"/>
          <w:sz w:val="22"/>
          <w:szCs w:val="22"/>
        </w:rPr>
        <w:t>We are aware of the need to review the Assessment Policy regularly so that we can take account of new initiatives, changes in the curriculum, developments in technology or changes to the physical environment of the school.</w:t>
      </w:r>
    </w:p>
    <w:sectPr w:rsidR="00ED3F80">
      <w:footerReference w:type="default" r:id="rId9"/>
      <w:pgSz w:w="11906" w:h="16838"/>
      <w:pgMar w:top="1440" w:right="1235" w:bottom="1440" w:left="123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B0" w:rsidRDefault="00C807B0" w:rsidP="00C807B0">
      <w:r>
        <w:separator/>
      </w:r>
    </w:p>
  </w:endnote>
  <w:endnote w:type="continuationSeparator" w:id="0">
    <w:p w:rsidR="00C807B0" w:rsidRDefault="00C807B0" w:rsidP="00C8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B0" w:rsidRPr="00C807B0" w:rsidRDefault="00C807B0" w:rsidP="00C807B0">
    <w:pPr>
      <w:pBdr>
        <w:top w:val="single" w:sz="4" w:space="1" w:color="auto"/>
      </w:pBdr>
      <w:tabs>
        <w:tab w:val="right" w:pos="10206"/>
      </w:tabs>
      <w:ind w:right="-2"/>
      <w:rPr>
        <w:rFonts w:asciiTheme="majorHAnsi" w:eastAsia="Times New Roman" w:hAnsiTheme="majorHAnsi" w:cs="Times New Roman"/>
        <w:color w:val="235E9C"/>
        <w:sz w:val="18"/>
        <w:szCs w:val="18"/>
        <w:lang w:val="en-US"/>
      </w:rPr>
    </w:pPr>
    <w:r>
      <w:rPr>
        <w:rFonts w:asciiTheme="majorHAnsi" w:eastAsia="Times New Roman" w:hAnsiTheme="majorHAnsi" w:cs="Times New Roman"/>
        <w:color w:val="235E9C"/>
        <w:sz w:val="18"/>
        <w:szCs w:val="18"/>
        <w:lang w:val="en-US"/>
      </w:rPr>
      <w:t>Assessment Policy</w:t>
    </w:r>
    <w:r w:rsidRPr="00C807B0">
      <w:rPr>
        <w:rFonts w:asciiTheme="majorHAnsi" w:eastAsia="Times New Roman" w:hAnsiTheme="majorHAnsi" w:cs="Times New Roman"/>
        <w:color w:val="235E9C"/>
        <w:sz w:val="18"/>
        <w:szCs w:val="18"/>
        <w:lang w:val="en-US"/>
      </w:rPr>
      <w:tab/>
      <w:t xml:space="preserve">Effective Date: </w:t>
    </w:r>
    <w:r>
      <w:rPr>
        <w:rFonts w:asciiTheme="majorHAnsi" w:eastAsia="Times New Roman" w:hAnsiTheme="majorHAnsi" w:cs="Times New Roman"/>
        <w:color w:val="235E9C"/>
        <w:sz w:val="18"/>
        <w:szCs w:val="18"/>
        <w:lang w:val="en-US"/>
      </w:rPr>
      <w:t>March 2022</w:t>
    </w:r>
  </w:p>
  <w:p w:rsidR="00C807B0" w:rsidRPr="00C807B0" w:rsidRDefault="00C807B0" w:rsidP="00C807B0">
    <w:pPr>
      <w:tabs>
        <w:tab w:val="right" w:pos="10206"/>
      </w:tabs>
      <w:ind w:right="-2"/>
      <w:rPr>
        <w:rFonts w:asciiTheme="majorHAnsi" w:eastAsia="Times New Roman" w:hAnsiTheme="majorHAnsi" w:cs="Times New Roman"/>
        <w:color w:val="235E9C"/>
        <w:sz w:val="18"/>
        <w:szCs w:val="18"/>
        <w:lang w:val="en-US"/>
      </w:rPr>
    </w:pPr>
    <w:r w:rsidRPr="00C807B0">
      <w:rPr>
        <w:rFonts w:asciiTheme="majorHAnsi" w:eastAsia="Times New Roman" w:hAnsiTheme="majorHAnsi" w:cs="Times New Roman"/>
        <w:color w:val="235E9C"/>
        <w:sz w:val="18"/>
        <w:szCs w:val="18"/>
        <w:lang w:val="en-US"/>
      </w:rPr>
      <w:tab/>
      <w:t xml:space="preserve">Page </w:t>
    </w:r>
    <w:r w:rsidRPr="00C807B0">
      <w:rPr>
        <w:rFonts w:asciiTheme="majorHAnsi" w:eastAsia="Times New Roman" w:hAnsiTheme="majorHAnsi" w:cs="Times New Roman"/>
        <w:color w:val="235E9C"/>
        <w:sz w:val="18"/>
        <w:szCs w:val="18"/>
        <w:lang w:val="en-US"/>
      </w:rPr>
      <w:fldChar w:fldCharType="begin"/>
    </w:r>
    <w:r w:rsidRPr="00C807B0">
      <w:rPr>
        <w:rFonts w:asciiTheme="majorHAnsi" w:eastAsia="Times New Roman" w:hAnsiTheme="majorHAnsi" w:cs="Times New Roman"/>
        <w:color w:val="235E9C"/>
        <w:sz w:val="18"/>
        <w:szCs w:val="18"/>
        <w:lang w:val="en-US"/>
      </w:rPr>
      <w:instrText xml:space="preserve"> PAGE </w:instrText>
    </w:r>
    <w:r w:rsidRPr="00C807B0">
      <w:rPr>
        <w:rFonts w:asciiTheme="majorHAnsi" w:eastAsia="Times New Roman" w:hAnsiTheme="majorHAnsi" w:cs="Times New Roman"/>
        <w:color w:val="235E9C"/>
        <w:sz w:val="18"/>
        <w:szCs w:val="18"/>
        <w:lang w:val="en-US"/>
      </w:rPr>
      <w:fldChar w:fldCharType="separate"/>
    </w:r>
    <w:r w:rsidR="00F90223">
      <w:rPr>
        <w:rFonts w:asciiTheme="majorHAnsi" w:eastAsia="Times New Roman" w:hAnsiTheme="majorHAnsi" w:cs="Times New Roman"/>
        <w:noProof/>
        <w:color w:val="235E9C"/>
        <w:sz w:val="18"/>
        <w:szCs w:val="18"/>
        <w:lang w:val="en-US"/>
      </w:rPr>
      <w:t>3</w:t>
    </w:r>
    <w:r w:rsidRPr="00C807B0">
      <w:rPr>
        <w:rFonts w:asciiTheme="majorHAnsi" w:eastAsia="Times New Roman" w:hAnsiTheme="majorHAnsi" w:cs="Times New Roman"/>
        <w:color w:val="235E9C"/>
        <w:sz w:val="18"/>
        <w:szCs w:val="18"/>
        <w:lang w:val="en-US"/>
      </w:rPr>
      <w:fldChar w:fldCharType="end"/>
    </w:r>
    <w:r w:rsidRPr="00C807B0">
      <w:rPr>
        <w:rFonts w:asciiTheme="majorHAnsi" w:eastAsia="Times New Roman" w:hAnsiTheme="majorHAnsi" w:cs="Times New Roman"/>
        <w:color w:val="235E9C"/>
        <w:sz w:val="18"/>
        <w:szCs w:val="18"/>
        <w:lang w:val="en-US"/>
      </w:rPr>
      <w:t xml:space="preserve"> of </w:t>
    </w:r>
    <w:r w:rsidRPr="00C807B0">
      <w:rPr>
        <w:rFonts w:asciiTheme="majorHAnsi" w:eastAsia="Times New Roman" w:hAnsiTheme="majorHAnsi" w:cs="Times New Roman"/>
        <w:color w:val="235E9C"/>
        <w:sz w:val="18"/>
        <w:szCs w:val="18"/>
        <w:lang w:val="en-US"/>
      </w:rPr>
      <w:fldChar w:fldCharType="begin"/>
    </w:r>
    <w:r w:rsidRPr="00C807B0">
      <w:rPr>
        <w:rFonts w:asciiTheme="majorHAnsi" w:eastAsia="Times New Roman" w:hAnsiTheme="majorHAnsi" w:cs="Times New Roman"/>
        <w:color w:val="235E9C"/>
        <w:sz w:val="18"/>
        <w:szCs w:val="18"/>
        <w:lang w:val="en-US"/>
      </w:rPr>
      <w:instrText xml:space="preserve"> NUMPAGES  </w:instrText>
    </w:r>
    <w:r w:rsidRPr="00C807B0">
      <w:rPr>
        <w:rFonts w:asciiTheme="majorHAnsi" w:eastAsia="Times New Roman" w:hAnsiTheme="majorHAnsi" w:cs="Times New Roman"/>
        <w:color w:val="235E9C"/>
        <w:sz w:val="18"/>
        <w:szCs w:val="18"/>
        <w:lang w:val="en-US"/>
      </w:rPr>
      <w:fldChar w:fldCharType="separate"/>
    </w:r>
    <w:r w:rsidR="00F90223">
      <w:rPr>
        <w:rFonts w:asciiTheme="majorHAnsi" w:eastAsia="Times New Roman" w:hAnsiTheme="majorHAnsi" w:cs="Times New Roman"/>
        <w:noProof/>
        <w:color w:val="235E9C"/>
        <w:sz w:val="18"/>
        <w:szCs w:val="18"/>
        <w:lang w:val="en-US"/>
      </w:rPr>
      <w:t>3</w:t>
    </w:r>
    <w:r w:rsidRPr="00C807B0">
      <w:rPr>
        <w:rFonts w:asciiTheme="majorHAnsi" w:eastAsia="Times New Roman" w:hAnsiTheme="majorHAnsi" w:cs="Times New Roman"/>
        <w:noProof/>
        <w:color w:val="235E9C"/>
        <w:sz w:val="18"/>
        <w:szCs w:val="18"/>
        <w:lang w:val="en-US"/>
      </w:rPr>
      <w:fldChar w:fldCharType="end"/>
    </w:r>
  </w:p>
  <w:p w:rsidR="00C807B0" w:rsidRPr="00C807B0" w:rsidRDefault="00C807B0" w:rsidP="00C807B0">
    <w:pPr>
      <w:tabs>
        <w:tab w:val="right" w:pos="10204"/>
      </w:tabs>
      <w:rPr>
        <w:rFonts w:ascii="Times New Roman" w:eastAsia="Times New Roman" w:hAnsi="Times New Roman" w:cs="Times New Roman"/>
        <w:color w:val="235E9C"/>
        <w:sz w:val="18"/>
        <w:szCs w:val="18"/>
        <w:lang w:val="en-US"/>
      </w:rPr>
    </w:pPr>
  </w:p>
  <w:p w:rsidR="00C807B0" w:rsidRDefault="00C8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B0" w:rsidRDefault="00C807B0" w:rsidP="00C807B0">
      <w:r>
        <w:separator/>
      </w:r>
    </w:p>
  </w:footnote>
  <w:footnote w:type="continuationSeparator" w:id="0">
    <w:p w:rsidR="00C807B0" w:rsidRDefault="00C807B0" w:rsidP="00C80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5DC5"/>
    <w:multiLevelType w:val="multilevel"/>
    <w:tmpl w:val="17A67E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80"/>
    <w:rsid w:val="00204C55"/>
    <w:rsid w:val="003230E8"/>
    <w:rsid w:val="003572FF"/>
    <w:rsid w:val="00881EC0"/>
    <w:rsid w:val="009331C1"/>
    <w:rsid w:val="00AD4E8A"/>
    <w:rsid w:val="00C807B0"/>
    <w:rsid w:val="00D61389"/>
    <w:rsid w:val="00DD2045"/>
    <w:rsid w:val="00E1452D"/>
    <w:rsid w:val="00ED3F80"/>
    <w:rsid w:val="00EE077F"/>
    <w:rsid w:val="00F9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00D1"/>
  <w15:docId w15:val="{B763DF79-BE22-4754-8A55-F3E1DB78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ListTable3-Accent51">
    <w:name w:val="List Table 3 - Accent 51"/>
    <w:basedOn w:val="TableNormal"/>
    <w:uiPriority w:val="48"/>
    <w:rsid w:val="009331C1"/>
    <w:rPr>
      <w:rFonts w:ascii="Calibri" w:eastAsia="Calibri" w:hAnsi="Calibri" w:cs="Times New Roman"/>
      <w:sz w:val="22"/>
      <w:szCs w:val="22"/>
      <w:lang w:val="en-AU" w:eastAsia="en-US"/>
    </w:rPr>
    <w:tblPr>
      <w:tblStyleRowBandSize w:val="1"/>
      <w:tblStyleColBandSize w:val="1"/>
      <w:tblInd w:w="0" w:type="nil"/>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styleId="BalloonText">
    <w:name w:val="Balloon Text"/>
    <w:basedOn w:val="Normal"/>
    <w:link w:val="BalloonTextChar"/>
    <w:uiPriority w:val="99"/>
    <w:semiHidden/>
    <w:unhideWhenUsed/>
    <w:rsid w:val="00E14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2D"/>
    <w:rPr>
      <w:rFonts w:ascii="Segoe UI" w:hAnsi="Segoe UI" w:cs="Segoe UI"/>
      <w:sz w:val="18"/>
      <w:szCs w:val="18"/>
    </w:rPr>
  </w:style>
  <w:style w:type="paragraph" w:styleId="Header">
    <w:name w:val="header"/>
    <w:basedOn w:val="Normal"/>
    <w:link w:val="HeaderChar"/>
    <w:uiPriority w:val="99"/>
    <w:unhideWhenUsed/>
    <w:rsid w:val="00C807B0"/>
    <w:pPr>
      <w:tabs>
        <w:tab w:val="center" w:pos="4513"/>
        <w:tab w:val="right" w:pos="9026"/>
      </w:tabs>
    </w:pPr>
  </w:style>
  <w:style w:type="character" w:customStyle="1" w:styleId="HeaderChar">
    <w:name w:val="Header Char"/>
    <w:basedOn w:val="DefaultParagraphFont"/>
    <w:link w:val="Header"/>
    <w:uiPriority w:val="99"/>
    <w:rsid w:val="00C807B0"/>
  </w:style>
  <w:style w:type="paragraph" w:styleId="Footer">
    <w:name w:val="footer"/>
    <w:basedOn w:val="Normal"/>
    <w:link w:val="FooterChar"/>
    <w:uiPriority w:val="99"/>
    <w:unhideWhenUsed/>
    <w:rsid w:val="00C807B0"/>
    <w:pPr>
      <w:tabs>
        <w:tab w:val="center" w:pos="4513"/>
        <w:tab w:val="right" w:pos="9026"/>
      </w:tabs>
    </w:pPr>
  </w:style>
  <w:style w:type="character" w:customStyle="1" w:styleId="FooterChar">
    <w:name w:val="Footer Char"/>
    <w:basedOn w:val="DefaultParagraphFont"/>
    <w:link w:val="Footer"/>
    <w:uiPriority w:val="99"/>
    <w:rsid w:val="00C8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a3m+oSbLGZmKnYSZDRyFIH9CQ==">AMUW2mVO+RIoBV6AimpN+jAOuV17sFDoTTPe1FU8h54ycFCYC5LHnTfDBCoBkHKptX3vXVnB7yIbTSyxfNk9rMRICQfKnlW8DV6vKmj+vLSk3ny7PIMh2cPcGn/oakuP0NaeNk7hAmAq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9313254 office.3254</cp:lastModifiedBy>
  <cp:revision>8</cp:revision>
  <cp:lastPrinted>2022-04-25T15:11:00Z</cp:lastPrinted>
  <dcterms:created xsi:type="dcterms:W3CDTF">2022-04-25T13:27:00Z</dcterms:created>
  <dcterms:modified xsi:type="dcterms:W3CDTF">2022-04-29T14:57:00Z</dcterms:modified>
</cp:coreProperties>
</file>